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w:t>
            </w:r>
            <w:r>
              <w:rPr>
                <w:rFonts w:ascii="Aptos" w:hAnsi="Aptos" w:cs="Aptos"/>
                <w:b/>
                <w:bCs/>
                <w:sz w:val="18"/>
                <w:highlight w:val="yellow"/>
              </w:rPr>
              <w:t>✓</w:t>
            </w:r>
            <w:r>
              <w:rPr>
                <w:rFonts w:asciiTheme="majorHAnsi" w:hAnsiTheme="majorHAnsi" w:cstheme="majorHAnsi" w:ascii="Aptos" w:hAnsi="Aptos"/>
                <w:sz w:val="18"/>
                <w:szCs w:val="18"/>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 Fall into excavation. Contact with underground services. Flooding/water ingress. Ground vibration from adjacent plant. Atmospheric contamination </w:t>
            </w:r>
            <w:r>
              <w:rPr>
                <w:rFonts w:ascii="Aptos" w:hAnsi="Aptos"/>
                <w:sz w:val="16"/>
                <w:szCs w:val="16"/>
                <w:b/>
              </w:rPr>
              <w:t xml:space="preserve">—</w:t>
            </w:r>
            <w:r>
              <w:rPr>
                <w:rFonts w:ascii="Aptos" w:hAnsi="Aptos"/>
                <w:sz w:val="16"/>
                <w:szCs w:val="16"/>
              </w:rPr>
              <w:t xml:space="preserve"> Build-up of gases, fumes, oxygen depletion. 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numPr>
                <w:ilvl w:val="0"/>
                <w:numId w:val="44"/>
              </w:numPr>
            </w:pPr>
            <w:r>
              <w:rPr>
                <w:rFonts w:ascii="Aptos" w:hAnsi="Aptos"/>
                <w:sz w:val="16"/>
                <w:szCs w:val="16"/>
              </w:rPr>
              <w:t xml:space="preserve">Geotechnical assessment reviewed: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numPr>
                <w:ilvl w:val="0"/>
                <w:numId w:val="44"/>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rPr>
              <w:t xml:space="preserve">Barricading per HY tiered system: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pPr>
            <w:r>
              <w:rPr>
                <w:rFonts w:ascii="Aptos" w:hAnsi="Aptos"/>
                <w:sz w:val="16"/>
                <w:szCs w:val="16"/>
              </w:rPr>
              <w:t xml:space="preserve">Electrocution from contact with underground power cables or overhead power lines. Gas main rupture </w:t>
            </w:r>
            <w:r>
              <w:rPr>
                <w:rFonts w:ascii="Aptos" w:hAnsi="Aptos"/>
                <w:sz w:val="16"/>
                <w:szCs w:val="16"/>
                <w:b/>
              </w:rPr>
              <w:t xml:space="preserve">—</w:t>
            </w:r>
            <w:r>
              <w:rPr>
                <w:rFonts w:ascii="Aptos" w:hAnsi="Aptos"/>
                <w:sz w:val="16"/>
                <w:szCs w:val="16"/>
              </w:rPr>
              <w:t xml:space="preserve"> Explosion and fire. Water main burst </w:t>
            </w:r>
            <w:r>
              <w:rPr>
                <w:rFonts w:ascii="Aptos" w:hAnsi="Aptos"/>
                <w:sz w:val="16"/>
                <w:szCs w:val="16"/>
                <w:b/>
              </w:rPr>
              <w:t xml:space="preserve">—</w:t>
            </w:r>
            <w:r>
              <w:rPr>
                <w:rFonts w:ascii="Aptos" w:hAnsi="Aptos"/>
                <w:sz w:val="16"/>
                <w:szCs w:val="16"/>
              </w:rPr>
              <w:t xml:space="preserve"> Flooding. Telecommunications damage </w:t>
            </w:r>
            <w:r>
              <w:rPr>
                <w:rFonts w:ascii="Aptos" w:hAnsi="Aptos"/>
                <w:sz w:val="16"/>
                <w:szCs w:val="16"/>
                <w:b/>
              </w:rPr>
              <w:t xml:space="preserve">—</w:t>
            </w:r>
            <w:r>
              <w:rPr>
                <w:rFonts w:ascii="Aptos" w:hAnsi="Aptos"/>
                <w:sz w:val="16"/>
                <w:szCs w:val="16"/>
              </w:rPr>
              <w:t xml:space="preserve"> Service disruption. Sewer damage </w:t>
            </w:r>
            <w:r>
              <w:rPr>
                <w:rFonts w:ascii="Aptos" w:hAnsi="Aptos"/>
                <w:sz w:val="16"/>
                <w:szCs w:val="16"/>
                <w:b/>
              </w:rPr>
              <w:t xml:space="preserve">—</w:t>
            </w:r>
            <w:r>
              <w:rPr>
                <w:rFonts w:ascii="Aptos" w:hAnsi="Aptos"/>
                <w:sz w:val="16"/>
                <w:szCs w:val="16"/>
              </w:rPr>
              <w:t xml:space="preserve"> Contamination. 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6"/>
              </w:numPr>
            </w:pPr>
            <w:r>
              <w:rPr>
                <w:rFonts w:ascii="Aptos" w:hAnsi="Aptos"/>
                <w:sz w:val="16"/>
                <w:szCs w:val="16"/>
              </w:rPr>
              <w:t xml:space="preserve">Overhead services identified: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numPr>
                <w:ilvl w:val="0"/>
                <w:numId w:val="48"/>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numPr>
                <w:ilvl w:val="0"/>
                <w:numId w:val="48"/>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numPr>
                <w:ilvl w:val="0"/>
                <w:numId w:val="48"/>
              </w:numPr>
            </w:pPr>
            <w:r>
              <w:rPr>
                <w:rFonts w:ascii="Aptos" w:hAnsi="Aptos"/>
                <w:sz w:val="16"/>
                <w:szCs w:val="16"/>
              </w:rPr>
              <w:t xml:space="preserve">Exclusion zones established: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numPr>
                <w:ilvl w:val="0"/>
                <w:numId w:val="48"/>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Operator: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 Chemical burns from wet concrete (alkaline). Manual handling </w:t>
            </w:r>
            <w:r>
              <w:rPr>
                <w:rFonts w:ascii="Aptos" w:hAnsi="Aptos"/>
                <w:sz w:val="16"/>
                <w:szCs w:val="16"/>
                <w:b/>
              </w:rPr>
              <w:t xml:space="preserve">—</w:t>
            </w:r>
            <w:r>
              <w:rPr>
                <w:rFonts w:ascii="Aptos" w:hAnsi="Aptos"/>
                <w:sz w:val="16"/>
                <w:szCs w:val="16"/>
              </w:rPr>
              <w:t xml:space="preserve">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